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9E4F09">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9E4F09">
              <w:rPr>
                <w:rFonts w:ascii="Arial" w:hAnsi="Arial" w:cs="Arial"/>
                <w:sz w:val="22"/>
                <w:lang w:eastAsia="en-AU"/>
              </w:rPr>
              <w:t>31</w:t>
            </w:r>
            <w:r w:rsidR="009E4F09">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ED2636">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0A4A67" w:rsidP="00F64FB3">
            <w:pPr>
              <w:pStyle w:val="FacsimileDataentry"/>
              <w:spacing w:before="80" w:after="40" w:line="240" w:lineRule="auto"/>
              <w:rPr>
                <w:rFonts w:ascii="Arial" w:hAnsi="Arial" w:cs="Arial"/>
                <w:sz w:val="22"/>
                <w:szCs w:val="22"/>
              </w:rPr>
            </w:pPr>
            <w:r w:rsidRPr="000A4A67">
              <w:rPr>
                <w:rFonts w:ascii="Arial" w:hAnsi="Arial" w:cs="Arial"/>
                <w:sz w:val="22"/>
                <w:lang w:eastAsia="en-AU"/>
              </w:rPr>
              <w:t>ARDEX BR 120 FC</w:t>
            </w:r>
            <w:r w:rsidR="00E421FE">
              <w:rPr>
                <w:rFonts w:ascii="Arial" w:hAnsi="Arial" w:cs="Arial"/>
                <w:sz w:val="22"/>
                <w:lang w:eastAsia="en-AU"/>
              </w:rPr>
              <w:t xml:space="preserve"> </w:t>
            </w:r>
            <w:r w:rsidR="00490084">
              <w:rPr>
                <w:rFonts w:ascii="Arial" w:hAnsi="Arial" w:cs="Arial"/>
                <w:sz w:val="22"/>
                <w:lang w:eastAsia="en-AU"/>
              </w:rPr>
              <w:t>-</w:t>
            </w:r>
            <w:r w:rsidR="00517158">
              <w:rPr>
                <w:rFonts w:ascii="Arial" w:hAnsi="Arial" w:cs="Arial"/>
                <w:sz w:val="22"/>
                <w:lang w:eastAsia="en-AU"/>
              </w:rPr>
              <w:t xml:space="preserve"> </w:t>
            </w:r>
            <w:r w:rsidRPr="000A4A67">
              <w:rPr>
                <w:rFonts w:ascii="Arial" w:hAnsi="Arial" w:cs="Arial"/>
                <w:sz w:val="22"/>
                <w:lang w:eastAsia="en-AU"/>
              </w:rPr>
              <w:t>Polymer-Modified, Fibre-Reinforced Fairing Coat</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421FE" w:rsidRPr="000A4A67" w:rsidRDefault="008552C4" w:rsidP="00EB10FC">
      <w:pPr>
        <w:pStyle w:val="Default"/>
        <w:rPr>
          <w:sz w:val="20"/>
          <w:szCs w:val="20"/>
        </w:rPr>
      </w:pPr>
      <w:r>
        <w:rPr>
          <w:sz w:val="20"/>
          <w:szCs w:val="20"/>
        </w:rPr>
        <w:t xml:space="preserve">The </w:t>
      </w:r>
      <w:hyperlink r:id="rId9" w:history="1">
        <w:r w:rsidR="000A4A67" w:rsidRPr="008552C4">
          <w:rPr>
            <w:rStyle w:val="Hyperlink"/>
            <w:sz w:val="20"/>
            <w:szCs w:val="20"/>
          </w:rPr>
          <w:t>ARDEX BR</w:t>
        </w:r>
        <w:r w:rsidR="000D3D68" w:rsidRPr="008552C4">
          <w:rPr>
            <w:rStyle w:val="Hyperlink"/>
            <w:sz w:val="20"/>
            <w:szCs w:val="20"/>
          </w:rPr>
          <w:t xml:space="preserve"> </w:t>
        </w:r>
        <w:r w:rsidR="000A4A67" w:rsidRPr="008552C4">
          <w:rPr>
            <w:rStyle w:val="Hyperlink"/>
            <w:sz w:val="20"/>
            <w:szCs w:val="20"/>
          </w:rPr>
          <w:t>120</w:t>
        </w:r>
        <w:r w:rsidR="000D3D68" w:rsidRPr="008552C4">
          <w:rPr>
            <w:rStyle w:val="Hyperlink"/>
            <w:sz w:val="20"/>
            <w:szCs w:val="20"/>
          </w:rPr>
          <w:t xml:space="preserve"> </w:t>
        </w:r>
        <w:r w:rsidR="000A4A67" w:rsidRPr="008552C4">
          <w:rPr>
            <w:rStyle w:val="Hyperlink"/>
            <w:sz w:val="20"/>
            <w:szCs w:val="20"/>
          </w:rPr>
          <w:t>FC</w:t>
        </w:r>
      </w:hyperlink>
      <w:r w:rsidR="000A4A67" w:rsidRPr="000A4A67">
        <w:rPr>
          <w:sz w:val="20"/>
          <w:szCs w:val="20"/>
        </w:rPr>
        <w:t xml:space="preserve"> is a fairing skim coat for the final smoothing of masonry and brick walls. It is the recommended Fairing Coat to be used in conjunction with </w:t>
      </w:r>
      <w:hyperlink r:id="rId10" w:history="1">
        <w:r w:rsidR="000A4A67" w:rsidRPr="008552C4">
          <w:rPr>
            <w:rStyle w:val="Hyperlink"/>
            <w:sz w:val="20"/>
            <w:szCs w:val="20"/>
          </w:rPr>
          <w:t>ARDEX BR Repair Mortars</w:t>
        </w:r>
      </w:hyperlink>
      <w:r w:rsidR="000A4A67" w:rsidRPr="000A4A67">
        <w:rPr>
          <w:sz w:val="20"/>
          <w:szCs w:val="20"/>
        </w:rPr>
        <w:t>. ARDEX BR</w:t>
      </w:r>
      <w:r>
        <w:rPr>
          <w:sz w:val="20"/>
          <w:szCs w:val="20"/>
        </w:rPr>
        <w:t xml:space="preserve"> </w:t>
      </w:r>
      <w:r w:rsidR="000A4A67" w:rsidRPr="000A4A67">
        <w:rPr>
          <w:sz w:val="20"/>
          <w:szCs w:val="20"/>
        </w:rPr>
        <w:t>120</w:t>
      </w:r>
      <w:r>
        <w:rPr>
          <w:sz w:val="20"/>
          <w:szCs w:val="20"/>
        </w:rPr>
        <w:t xml:space="preserve"> </w:t>
      </w:r>
      <w:r w:rsidR="000A4A67" w:rsidRPr="000A4A67">
        <w:rPr>
          <w:sz w:val="20"/>
          <w:szCs w:val="20"/>
        </w:rPr>
        <w:t xml:space="preserve">FC is specifically designed for the preparation of façade surfaces prior to the application of </w:t>
      </w:r>
      <w:hyperlink r:id="rId11" w:history="1">
        <w:r w:rsidR="000A4A67" w:rsidRPr="008552C4">
          <w:rPr>
            <w:rStyle w:val="Hyperlink"/>
            <w:sz w:val="20"/>
            <w:szCs w:val="20"/>
          </w:rPr>
          <w:t>ARDEX WPM 330</w:t>
        </w:r>
      </w:hyperlink>
      <w:r w:rsidR="000A4A67" w:rsidRPr="000A4A67">
        <w:rPr>
          <w:sz w:val="20"/>
          <w:szCs w:val="20"/>
        </w:rPr>
        <w:t xml:space="preserve"> Façade Anti-Carbonation Membrane or </w:t>
      </w:r>
      <w:hyperlink r:id="rId12" w:history="1">
        <w:r w:rsidR="000A4A67" w:rsidRPr="008552C4">
          <w:rPr>
            <w:rStyle w:val="Hyperlink"/>
            <w:sz w:val="20"/>
            <w:szCs w:val="20"/>
          </w:rPr>
          <w:t>ARDEX WPM 310</w:t>
        </w:r>
      </w:hyperlink>
      <w:r w:rsidR="000A4A67" w:rsidRPr="000A4A67">
        <w:rPr>
          <w:sz w:val="20"/>
          <w:szCs w:val="20"/>
        </w:rPr>
        <w:t xml:space="preserve"> Facade and Roof Membrane.</w:t>
      </w:r>
    </w:p>
    <w:p w:rsidR="000A4A67" w:rsidRPr="00363B1E" w:rsidRDefault="000A4A67" w:rsidP="00EB10FC">
      <w:pPr>
        <w:pStyle w:val="Default"/>
        <w:rPr>
          <w:sz w:val="14"/>
          <w:szCs w:val="20"/>
        </w:rPr>
      </w:pPr>
    </w:p>
    <w:p w:rsidR="000A4A67" w:rsidRDefault="000A4A67" w:rsidP="00EB10FC">
      <w:pPr>
        <w:autoSpaceDE w:val="0"/>
        <w:autoSpaceDN w:val="0"/>
        <w:adjustRightInd w:val="0"/>
        <w:jc w:val="left"/>
        <w:rPr>
          <w:rFonts w:ascii="Arial" w:hAnsi="Arial" w:cs="Arial"/>
          <w:b/>
          <w:bCs/>
          <w:color w:val="000000"/>
          <w:sz w:val="20"/>
          <w:lang w:eastAsia="en-AU"/>
        </w:rPr>
      </w:pPr>
      <w:r w:rsidRPr="000A4A67">
        <w:rPr>
          <w:rFonts w:ascii="Arial" w:hAnsi="Arial" w:cs="Arial"/>
          <w:b/>
          <w:bCs/>
          <w:color w:val="000000"/>
          <w:sz w:val="20"/>
          <w:lang w:eastAsia="en-AU"/>
        </w:rPr>
        <w:t xml:space="preserve">TYPICAL APPLICATIONS </w:t>
      </w:r>
    </w:p>
    <w:p w:rsidR="000A4A67" w:rsidRPr="000A4A67" w:rsidRDefault="000A4A67" w:rsidP="00EB10FC">
      <w:pPr>
        <w:autoSpaceDE w:val="0"/>
        <w:autoSpaceDN w:val="0"/>
        <w:adjustRightInd w:val="0"/>
        <w:jc w:val="left"/>
        <w:rPr>
          <w:rFonts w:ascii="Arial" w:hAnsi="Arial" w:cs="Arial"/>
          <w:b/>
          <w:bCs/>
          <w:color w:val="000000"/>
          <w:sz w:val="14"/>
          <w:szCs w:val="14"/>
          <w:lang w:eastAsia="en-AU"/>
        </w:rPr>
      </w:pP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Facade preparation/ restoration prior to application of ARDEX facade membranes. </w:t>
      </w: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Fairing/ skim coat for final smoothing over patched areas or generally on masonry and brick walls </w:t>
      </w: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Pre-cast panel repairs </w:t>
      </w: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Spalling concrete repairs </w:t>
      </w: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For aerated concrete panelled walls </w:t>
      </w: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In-situ poured concrete repairs </w:t>
      </w:r>
    </w:p>
    <w:p w:rsidR="000A4A67" w:rsidRPr="000A4A67"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xml:space="preserve">• Skim coat for swimming pool repairs – prior to waterproofing and tiling </w:t>
      </w:r>
    </w:p>
    <w:p w:rsidR="00EB10FC"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 Can be used for repairs under ARDEX membranes and tile adhesives</w:t>
      </w:r>
    </w:p>
    <w:p w:rsidR="000A4A67" w:rsidRPr="000A4A67" w:rsidRDefault="000A4A67" w:rsidP="00EB10FC">
      <w:pPr>
        <w:autoSpaceDE w:val="0"/>
        <w:autoSpaceDN w:val="0"/>
        <w:adjustRightInd w:val="0"/>
        <w:jc w:val="left"/>
        <w:rPr>
          <w:rFonts w:ascii="Arial" w:hAnsi="Arial" w:cs="Arial"/>
          <w:color w:val="000000"/>
          <w:sz w:val="14"/>
          <w:szCs w:val="1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F64FB3" w:rsidRDefault="00EB10FC" w:rsidP="00EB10FC">
      <w:pPr>
        <w:autoSpaceDE w:val="0"/>
        <w:autoSpaceDN w:val="0"/>
        <w:adjustRightInd w:val="0"/>
        <w:jc w:val="left"/>
        <w:rPr>
          <w:rFonts w:ascii="Arial" w:hAnsi="Arial" w:cs="Arial"/>
          <w:color w:val="000000"/>
          <w:sz w:val="14"/>
          <w:szCs w:val="14"/>
          <w:lang w:eastAsia="en-AU"/>
        </w:rPr>
      </w:pPr>
    </w:p>
    <w:p w:rsidR="00F64FB3" w:rsidRDefault="000A4A67" w:rsidP="00EB10FC">
      <w:pPr>
        <w:autoSpaceDE w:val="0"/>
        <w:autoSpaceDN w:val="0"/>
        <w:adjustRightInd w:val="0"/>
        <w:jc w:val="left"/>
        <w:rPr>
          <w:rFonts w:ascii="Arial" w:hAnsi="Arial" w:cs="Arial"/>
          <w:color w:val="000000"/>
          <w:sz w:val="20"/>
          <w:lang w:eastAsia="en-AU"/>
        </w:rPr>
      </w:pPr>
      <w:r w:rsidRPr="000A4A67">
        <w:rPr>
          <w:rFonts w:ascii="Arial" w:hAnsi="Arial" w:cs="Arial"/>
          <w:color w:val="000000"/>
          <w:sz w:val="20"/>
          <w:lang w:eastAsia="en-AU"/>
        </w:rPr>
        <w:t>The substrate must be clean, sound and free from all grease, oil, dust and other surface contaminants such as curing compounds. Substrate surfaces should be open pored (permeable).</w:t>
      </w:r>
    </w:p>
    <w:p w:rsidR="000D3D68" w:rsidRDefault="000D3D68" w:rsidP="00EB10FC">
      <w:pPr>
        <w:autoSpaceDE w:val="0"/>
        <w:autoSpaceDN w:val="0"/>
        <w:adjustRightInd w:val="0"/>
        <w:jc w:val="left"/>
        <w:rPr>
          <w:rFonts w:ascii="Arial" w:hAnsi="Arial" w:cs="Arial"/>
          <w:color w:val="000000"/>
          <w:sz w:val="20"/>
          <w:lang w:eastAsia="en-AU"/>
        </w:rPr>
      </w:pPr>
    </w:p>
    <w:p w:rsidR="000D3D68" w:rsidRDefault="000D3D68" w:rsidP="00EB10FC">
      <w:pPr>
        <w:autoSpaceDE w:val="0"/>
        <w:autoSpaceDN w:val="0"/>
        <w:adjustRightInd w:val="0"/>
        <w:jc w:val="left"/>
        <w:rPr>
          <w:rFonts w:ascii="Arial" w:hAnsi="Arial" w:cs="Arial"/>
          <w:color w:val="000000"/>
          <w:sz w:val="14"/>
          <w:szCs w:val="14"/>
          <w:lang w:eastAsia="en-AU"/>
        </w:rPr>
      </w:pPr>
      <w:r w:rsidRPr="000D3D68">
        <w:rPr>
          <w:rFonts w:ascii="Arial" w:hAnsi="Arial" w:cs="Arial"/>
          <w:b/>
          <w:bCs/>
          <w:color w:val="000000"/>
          <w:sz w:val="20"/>
          <w:lang w:eastAsia="en-AU"/>
        </w:rPr>
        <w:t>PRIMING</w:t>
      </w:r>
    </w:p>
    <w:p w:rsidR="000D3D68" w:rsidRDefault="000D3D68" w:rsidP="00EB10FC">
      <w:pPr>
        <w:autoSpaceDE w:val="0"/>
        <w:autoSpaceDN w:val="0"/>
        <w:adjustRightInd w:val="0"/>
        <w:jc w:val="left"/>
        <w:rPr>
          <w:rFonts w:ascii="Arial" w:hAnsi="Arial" w:cs="Arial"/>
          <w:color w:val="000000"/>
          <w:sz w:val="14"/>
          <w:szCs w:val="14"/>
          <w:lang w:eastAsia="en-AU"/>
        </w:rPr>
      </w:pPr>
    </w:p>
    <w:p w:rsidR="000D3D68" w:rsidRPr="000D3D68" w:rsidRDefault="000D3D68" w:rsidP="00EB10FC">
      <w:pPr>
        <w:autoSpaceDE w:val="0"/>
        <w:autoSpaceDN w:val="0"/>
        <w:adjustRightInd w:val="0"/>
        <w:jc w:val="left"/>
        <w:rPr>
          <w:rFonts w:ascii="Arial" w:hAnsi="Arial" w:cs="Arial"/>
          <w:color w:val="000000"/>
          <w:sz w:val="14"/>
          <w:szCs w:val="14"/>
          <w:lang w:eastAsia="en-AU"/>
        </w:rPr>
      </w:pPr>
      <w:r w:rsidRPr="000D3D68">
        <w:rPr>
          <w:rFonts w:ascii="Arial" w:hAnsi="Arial" w:cs="Arial"/>
          <w:color w:val="000000"/>
          <w:sz w:val="20"/>
          <w:lang w:eastAsia="en-AU"/>
        </w:rPr>
        <w:t>ARDEX BR</w:t>
      </w:r>
      <w:r>
        <w:rPr>
          <w:rFonts w:ascii="Arial" w:hAnsi="Arial" w:cs="Arial"/>
          <w:color w:val="000000"/>
          <w:sz w:val="20"/>
          <w:lang w:eastAsia="en-AU"/>
        </w:rPr>
        <w:t xml:space="preserve"> </w:t>
      </w:r>
      <w:r w:rsidRPr="000D3D68">
        <w:rPr>
          <w:rFonts w:ascii="Arial" w:hAnsi="Arial" w:cs="Arial"/>
          <w:color w:val="000000"/>
          <w:sz w:val="20"/>
          <w:lang w:eastAsia="en-AU"/>
        </w:rPr>
        <w:t>120</w:t>
      </w:r>
      <w:r>
        <w:rPr>
          <w:rFonts w:ascii="Arial" w:hAnsi="Arial" w:cs="Arial"/>
          <w:color w:val="000000"/>
          <w:sz w:val="20"/>
          <w:lang w:eastAsia="en-AU"/>
        </w:rPr>
        <w:t xml:space="preserve"> </w:t>
      </w:r>
      <w:r w:rsidRPr="000D3D68">
        <w:rPr>
          <w:rFonts w:ascii="Arial" w:hAnsi="Arial" w:cs="Arial"/>
          <w:color w:val="000000"/>
          <w:sz w:val="20"/>
          <w:lang w:eastAsia="en-AU"/>
        </w:rPr>
        <w:t>FC is self-priming when used as a fairing coat</w:t>
      </w:r>
      <w:r w:rsidRPr="000D3D68">
        <w:rPr>
          <w:rFonts w:ascii="Arial" w:hAnsi="Arial" w:cs="Arial"/>
          <w:color w:val="000000"/>
          <w:sz w:val="14"/>
          <w:szCs w:val="14"/>
          <w:lang w:eastAsia="en-AU"/>
        </w:rPr>
        <w:t>.</w:t>
      </w:r>
    </w:p>
    <w:p w:rsidR="00E421FE" w:rsidRPr="00E421FE" w:rsidRDefault="00E421FE" w:rsidP="00EB10FC">
      <w:pPr>
        <w:autoSpaceDE w:val="0"/>
        <w:autoSpaceDN w:val="0"/>
        <w:adjustRightInd w:val="0"/>
        <w:jc w:val="left"/>
        <w:rPr>
          <w:rFonts w:ascii="Arial" w:hAnsi="Arial" w:cs="Arial"/>
          <w:color w:val="000000"/>
          <w:sz w:val="14"/>
          <w:szCs w:val="14"/>
          <w:lang w:eastAsia="en-AU"/>
        </w:rPr>
      </w:pPr>
    </w:p>
    <w:p w:rsidR="0086653A"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b/>
          <w:bCs/>
          <w:color w:val="000000"/>
          <w:sz w:val="20"/>
          <w:lang w:eastAsia="en-AU"/>
        </w:rPr>
        <w:t>APPLICATION</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F33EEE" w:rsidRPr="00F33EEE" w:rsidRDefault="000D3D68" w:rsidP="00EB10FC">
      <w:pPr>
        <w:autoSpaceDE w:val="0"/>
        <w:autoSpaceDN w:val="0"/>
        <w:adjustRightInd w:val="0"/>
        <w:jc w:val="left"/>
        <w:rPr>
          <w:rFonts w:ascii="Arial" w:hAnsi="Arial" w:cs="Arial"/>
          <w:color w:val="000000"/>
          <w:sz w:val="20"/>
          <w:lang w:eastAsia="en-AU"/>
        </w:rPr>
      </w:pPr>
      <w:r w:rsidRPr="000D3D68">
        <w:rPr>
          <w:rFonts w:ascii="Arial" w:hAnsi="Arial" w:cs="Arial"/>
          <w:color w:val="000000"/>
          <w:sz w:val="20"/>
          <w:lang w:eastAsia="en-AU"/>
        </w:rPr>
        <w:t>Apply using a trowel to a suitably prepared and pre</w:t>
      </w:r>
      <w:r>
        <w:rPr>
          <w:rFonts w:ascii="Arial" w:hAnsi="Arial" w:cs="Arial"/>
          <w:color w:val="000000"/>
          <w:sz w:val="20"/>
          <w:lang w:eastAsia="en-AU"/>
        </w:rPr>
        <w:t xml:space="preserve"> </w:t>
      </w:r>
      <w:r w:rsidRPr="000D3D68">
        <w:rPr>
          <w:rFonts w:ascii="Arial" w:hAnsi="Arial" w:cs="Arial"/>
          <w:color w:val="000000"/>
          <w:sz w:val="20"/>
          <w:lang w:eastAsia="en-AU"/>
        </w:rPr>
        <w:t>dampened substrate. ARDEX BR</w:t>
      </w:r>
      <w:r>
        <w:rPr>
          <w:rFonts w:ascii="Arial" w:hAnsi="Arial" w:cs="Arial"/>
          <w:color w:val="000000"/>
          <w:sz w:val="20"/>
          <w:lang w:eastAsia="en-AU"/>
        </w:rPr>
        <w:t xml:space="preserve"> </w:t>
      </w:r>
      <w:r w:rsidRPr="000D3D68">
        <w:rPr>
          <w:rFonts w:ascii="Arial" w:hAnsi="Arial" w:cs="Arial"/>
          <w:color w:val="000000"/>
          <w:sz w:val="20"/>
          <w:lang w:eastAsia="en-AU"/>
        </w:rPr>
        <w:t>120</w:t>
      </w:r>
      <w:r>
        <w:rPr>
          <w:rFonts w:ascii="Arial" w:hAnsi="Arial" w:cs="Arial"/>
          <w:color w:val="000000"/>
          <w:sz w:val="20"/>
          <w:lang w:eastAsia="en-AU"/>
        </w:rPr>
        <w:t xml:space="preserve"> </w:t>
      </w:r>
      <w:r w:rsidRPr="000D3D68">
        <w:rPr>
          <w:rFonts w:ascii="Arial" w:hAnsi="Arial" w:cs="Arial"/>
          <w:color w:val="000000"/>
          <w:sz w:val="20"/>
          <w:lang w:eastAsia="en-AU"/>
        </w:rPr>
        <w:t>FC will stiffen on standing, but the workability of the product will be quickly returned after simple hand mixing with a trowel. Note: It is not acceptable to try and extend the workability of the product beyond the usual pot life by adding water</w:t>
      </w:r>
      <w:r w:rsidR="00E421FE">
        <w:rPr>
          <w:rFonts w:ascii="Arial" w:hAnsi="Arial" w:cs="Arial"/>
          <w:color w:val="000000"/>
          <w:sz w:val="20"/>
          <w:lang w:eastAsia="en-AU"/>
        </w:rPr>
        <w:t>.</w:t>
      </w:r>
    </w:p>
    <w:p w:rsidR="00F33EEE" w:rsidRPr="00F33EEE" w:rsidRDefault="00F33EEE" w:rsidP="00020292">
      <w:pPr>
        <w:autoSpaceDE w:val="0"/>
        <w:autoSpaceDN w:val="0"/>
        <w:adjustRightInd w:val="0"/>
        <w:jc w:val="left"/>
        <w:rPr>
          <w:rFonts w:ascii="Arial" w:hAnsi="Arial" w:cs="Arial"/>
          <w:color w:val="000000"/>
          <w:sz w:val="14"/>
          <w:szCs w:val="14"/>
          <w:lang w:eastAsia="en-AU"/>
        </w:rPr>
      </w:pPr>
    </w:p>
    <w:p w:rsidR="000D3D68" w:rsidRDefault="00C73B6F" w:rsidP="000D3D68">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0D3D68" w:rsidRPr="000D3D68" w:rsidRDefault="000D3D68" w:rsidP="000D3D68">
      <w:pPr>
        <w:autoSpaceDE w:val="0"/>
        <w:autoSpaceDN w:val="0"/>
        <w:adjustRightInd w:val="0"/>
        <w:jc w:val="left"/>
        <w:rPr>
          <w:rFonts w:ascii="Arial" w:hAnsi="Arial" w:cs="Arial"/>
          <w:color w:val="000000"/>
          <w:sz w:val="14"/>
          <w:szCs w:val="14"/>
          <w:lang w:eastAsia="en-AU"/>
        </w:rPr>
      </w:pPr>
    </w:p>
    <w:p w:rsidR="000D3D68" w:rsidRDefault="000D3D68" w:rsidP="000D3D68">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The ARDEX</w:t>
      </w:r>
      <w:r w:rsidRPr="00020292">
        <w:rPr>
          <w:rFonts w:ascii="Arial" w:hAnsi="Arial" w:cs="Arial"/>
          <w:color w:val="000000"/>
          <w:sz w:val="20"/>
          <w:lang w:eastAsia="en-AU"/>
        </w:rPr>
        <w:t xml:space="preserve"> BR 120</w:t>
      </w:r>
      <w:r>
        <w:rPr>
          <w:rFonts w:ascii="Arial" w:hAnsi="Arial" w:cs="Arial"/>
          <w:color w:val="000000"/>
          <w:sz w:val="20"/>
          <w:lang w:eastAsia="en-AU"/>
        </w:rPr>
        <w:t xml:space="preserve"> FC can be applied at a minimum thickness of 1mm and a maximum thickness of 3mm</w:t>
      </w:r>
      <w:r>
        <w:rPr>
          <w:rFonts w:ascii="Arial" w:hAnsi="Arial" w:cs="Arial"/>
          <w:color w:val="000000"/>
          <w:sz w:val="20"/>
          <w:lang w:eastAsia="en-AU"/>
        </w:rPr>
        <w:t>.</w:t>
      </w:r>
    </w:p>
    <w:p w:rsidR="000D3D68" w:rsidRPr="000D3D68" w:rsidRDefault="000D3D68" w:rsidP="000D3D68">
      <w:pPr>
        <w:autoSpaceDE w:val="0"/>
        <w:autoSpaceDN w:val="0"/>
        <w:adjustRightInd w:val="0"/>
        <w:jc w:val="left"/>
        <w:rPr>
          <w:rFonts w:ascii="Arial" w:hAnsi="Arial" w:cs="Arial"/>
          <w:color w:val="000000"/>
          <w:sz w:val="14"/>
          <w:szCs w:val="14"/>
          <w:lang w:eastAsia="en-AU"/>
        </w:rPr>
      </w:pPr>
    </w:p>
    <w:p w:rsidR="00610A99" w:rsidRDefault="000D3D68" w:rsidP="000D3D68">
      <w:pPr>
        <w:autoSpaceDE w:val="0"/>
        <w:autoSpaceDN w:val="0"/>
        <w:adjustRightInd w:val="0"/>
        <w:jc w:val="left"/>
        <w:rPr>
          <w:rFonts w:ascii="Arial" w:hAnsi="Arial" w:cs="Arial"/>
          <w:color w:val="000000"/>
          <w:sz w:val="20"/>
          <w:lang w:eastAsia="en-AU"/>
        </w:rPr>
      </w:pPr>
      <w:r w:rsidRPr="000D3D68">
        <w:rPr>
          <w:rFonts w:ascii="Arial" w:hAnsi="Arial" w:cs="Arial"/>
          <w:color w:val="000000"/>
          <w:sz w:val="20"/>
          <w:lang w:eastAsia="en-AU"/>
        </w:rPr>
        <w:t>Once cured, the ARDEX BR 120 FC will achieve a compressive strength of 24MPa at 28 days and a flexural strength of 7MPa at 28 days.</w:t>
      </w:r>
    </w:p>
    <w:p w:rsidR="008D72CF" w:rsidRDefault="008D72CF" w:rsidP="00020292">
      <w:pPr>
        <w:autoSpaceDE w:val="0"/>
        <w:autoSpaceDN w:val="0"/>
        <w:adjustRightInd w:val="0"/>
        <w:jc w:val="left"/>
        <w:rPr>
          <w:rFonts w:ascii="Arial" w:hAnsi="Arial" w:cs="Arial"/>
          <w:color w:val="000000"/>
          <w:sz w:val="20"/>
          <w:lang w:eastAsia="en-AU"/>
        </w:rPr>
      </w:pPr>
    </w:p>
    <w:p w:rsidR="00020292" w:rsidRDefault="00020292" w:rsidP="00020292">
      <w:pPr>
        <w:autoSpaceDE w:val="0"/>
        <w:autoSpaceDN w:val="0"/>
        <w:adjustRightInd w:val="0"/>
        <w:jc w:val="left"/>
        <w:rPr>
          <w:rFonts w:ascii="Arial" w:hAnsi="Arial" w:cs="Arial"/>
          <w:color w:val="000000"/>
          <w:sz w:val="20"/>
          <w:lang w:eastAsia="en-AU"/>
        </w:rPr>
      </w:pPr>
    </w:p>
    <w:p w:rsidR="000D3D68" w:rsidRDefault="000D3D68" w:rsidP="000D3D68">
      <w:pPr>
        <w:autoSpaceDE w:val="0"/>
        <w:autoSpaceDN w:val="0"/>
        <w:adjustRightInd w:val="0"/>
        <w:rPr>
          <w:rFonts w:ascii="Arial" w:hAnsi="Arial" w:cs="Arial"/>
          <w:color w:val="FF0000"/>
          <w:sz w:val="18"/>
          <w:szCs w:val="18"/>
          <w:lang w:eastAsia="en-AU"/>
        </w:rPr>
      </w:pPr>
    </w:p>
    <w:p w:rsidR="00F33EEE" w:rsidRDefault="000D3D68" w:rsidP="00350CE6">
      <w:pPr>
        <w:autoSpaceDE w:val="0"/>
        <w:autoSpaceDN w:val="0"/>
        <w:adjustRightInd w:val="0"/>
        <w:rPr>
          <w:rFonts w:ascii="Arial" w:hAnsi="Arial" w:cs="Arial"/>
          <w:color w:val="FF0000"/>
          <w:sz w:val="18"/>
          <w:szCs w:val="18"/>
          <w:lang w:eastAsia="en-AU"/>
        </w:rPr>
      </w:pPr>
      <w:bookmarkStart w:id="0" w:name="_GoBack"/>
      <w:bookmarkEnd w:id="0"/>
      <w:r w:rsidRPr="00BA1B60">
        <w:rPr>
          <w:rFonts w:ascii="Arial" w:hAnsi="Arial" w:cs="Arial"/>
          <w:color w:val="FF0000"/>
          <w:sz w:val="18"/>
          <w:szCs w:val="18"/>
          <w:lang w:eastAsia="en-AU"/>
        </w:rPr>
        <w:t>Disclaimer: The recommendation selected is based upon questions answered on the ARDEX Australia website. This recommendation is designed as a general application for your described situation and should not be considered site specific documentation for general distribution. Always consult the latest relevant ARDEX Technical Bulletins and information on the product packaging and/or product data sheets (available on the ARDEX Website). It is the responsibility of the user to ensure that this document is current and most up to date.  Australian and other relevant standards should be followed during installation. If you have any further questions or would like further clarification please contact the ARDEX Technical Services Hotline on 1800 224 070 (9am to 5pm Monday to Friday).</w:t>
      </w:r>
    </w:p>
    <w:sectPr w:rsidR="00F33EEE">
      <w:headerReference w:type="default" r:id="rId13"/>
      <w:footerReference w:type="default" r:id="rId14"/>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26" w:rsidRDefault="00E42C26">
      <w:r>
        <w:separator/>
      </w:r>
    </w:p>
  </w:endnote>
  <w:endnote w:type="continuationSeparator" w:id="0">
    <w:p w:rsidR="00E42C26" w:rsidRDefault="00E4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7EF322BA" wp14:editId="50882D7C">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26" w:rsidRDefault="00E42C26">
      <w:r>
        <w:separator/>
      </w:r>
    </w:p>
  </w:footnote>
  <w:footnote w:type="continuationSeparator" w:id="0">
    <w:p w:rsidR="00E42C26" w:rsidRDefault="00E4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3B58BF5B" wp14:editId="56B1D2DC">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w:t>
    </w:r>
    <w:r w:rsidR="000D3D68">
      <w:rPr>
        <w:rFonts w:ascii="Arial" w:hAnsi="Arial" w:cs="Arial"/>
        <w:b/>
        <w:sz w:val="22"/>
      </w:rPr>
      <w:t>10</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721F4"/>
    <w:rsid w:val="00091D9D"/>
    <w:rsid w:val="00096E43"/>
    <w:rsid w:val="000A24CD"/>
    <w:rsid w:val="000A4508"/>
    <w:rsid w:val="000A4A67"/>
    <w:rsid w:val="000A6296"/>
    <w:rsid w:val="000B2860"/>
    <w:rsid w:val="000B4CDC"/>
    <w:rsid w:val="000D1596"/>
    <w:rsid w:val="000D3D68"/>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01C5"/>
    <w:rsid w:val="002A4C67"/>
    <w:rsid w:val="002A583D"/>
    <w:rsid w:val="002A5FF0"/>
    <w:rsid w:val="002B42E9"/>
    <w:rsid w:val="002B6938"/>
    <w:rsid w:val="002E37FF"/>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B4449"/>
    <w:rsid w:val="003D26CC"/>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0A99"/>
    <w:rsid w:val="00616B91"/>
    <w:rsid w:val="0062551C"/>
    <w:rsid w:val="00647C64"/>
    <w:rsid w:val="00654B5E"/>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D7E6E"/>
    <w:rsid w:val="007E4671"/>
    <w:rsid w:val="007E47CB"/>
    <w:rsid w:val="007E61C4"/>
    <w:rsid w:val="007F38E0"/>
    <w:rsid w:val="00805242"/>
    <w:rsid w:val="00813028"/>
    <w:rsid w:val="0082558A"/>
    <w:rsid w:val="0082698C"/>
    <w:rsid w:val="008308FF"/>
    <w:rsid w:val="00835182"/>
    <w:rsid w:val="0084313A"/>
    <w:rsid w:val="008437E5"/>
    <w:rsid w:val="008552C4"/>
    <w:rsid w:val="0086653A"/>
    <w:rsid w:val="00873554"/>
    <w:rsid w:val="00877895"/>
    <w:rsid w:val="00881ABE"/>
    <w:rsid w:val="00883288"/>
    <w:rsid w:val="008B167D"/>
    <w:rsid w:val="008D72CF"/>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E4F09"/>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5096"/>
    <w:rsid w:val="00B37262"/>
    <w:rsid w:val="00B40261"/>
    <w:rsid w:val="00B46C8F"/>
    <w:rsid w:val="00B470FE"/>
    <w:rsid w:val="00B57601"/>
    <w:rsid w:val="00B640C0"/>
    <w:rsid w:val="00B67529"/>
    <w:rsid w:val="00B75365"/>
    <w:rsid w:val="00B769D6"/>
    <w:rsid w:val="00B936A5"/>
    <w:rsid w:val="00BA029F"/>
    <w:rsid w:val="00BA1B60"/>
    <w:rsid w:val="00BA1F14"/>
    <w:rsid w:val="00BB42DA"/>
    <w:rsid w:val="00BC09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0A9B"/>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421FE"/>
    <w:rsid w:val="00E42C26"/>
    <w:rsid w:val="00E60B97"/>
    <w:rsid w:val="00E6708E"/>
    <w:rsid w:val="00EA329B"/>
    <w:rsid w:val="00EA374F"/>
    <w:rsid w:val="00EB10FC"/>
    <w:rsid w:val="00EC11EE"/>
    <w:rsid w:val="00ED2636"/>
    <w:rsid w:val="00ED73F0"/>
    <w:rsid w:val="00ED7F45"/>
    <w:rsid w:val="00EF4D4C"/>
    <w:rsid w:val="00EF58C9"/>
    <w:rsid w:val="00F01A59"/>
    <w:rsid w:val="00F04BED"/>
    <w:rsid w:val="00F10974"/>
    <w:rsid w:val="00F14584"/>
    <w:rsid w:val="00F15CAA"/>
    <w:rsid w:val="00F25B34"/>
    <w:rsid w:val="00F33EEE"/>
    <w:rsid w:val="00F33FFE"/>
    <w:rsid w:val="00F36A70"/>
    <w:rsid w:val="00F43BFE"/>
    <w:rsid w:val="00F64FB3"/>
    <w:rsid w:val="00F67F90"/>
    <w:rsid w:val="00F715B7"/>
    <w:rsid w:val="00F81A26"/>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792165425">
      <w:bodyDiv w:val="1"/>
      <w:marLeft w:val="0"/>
      <w:marRight w:val="0"/>
      <w:marTop w:val="0"/>
      <w:marBottom w:val="0"/>
      <w:divBdr>
        <w:top w:val="none" w:sz="0" w:space="0" w:color="auto"/>
        <w:left w:val="none" w:sz="0" w:space="0" w:color="auto"/>
        <w:bottom w:val="none" w:sz="0" w:space="0" w:color="auto"/>
        <w:right w:val="none" w:sz="0" w:space="0" w:color="auto"/>
      </w:divBdr>
    </w:div>
    <w:div w:id="852576052">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dexaustralia.com/products/waterproofing/ardex-wpm-310-shelterguard?highlight=YToxOntpOjA7aTozMTA7f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exaustralia.com/products/waterproofing/ardex-wpm-330-facade?highlight=YToxOntpOjA7aTozMzA7f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dexaustralia.com/products/repair-mortars/ardex-br-120-fc" TargetMode="External"/><Relationship Id="rId4" Type="http://schemas.microsoft.com/office/2007/relationships/stylesWithEffects" Target="stylesWithEffects.xml"/><Relationship Id="rId9" Type="http://schemas.openxmlformats.org/officeDocument/2006/relationships/hyperlink" Target="http://www.ardexaustralia.com/products/repair-mortars/ardex-br-120-f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2EA5-C299-4101-B581-F2FD4A3C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33</cp:revision>
  <cp:lastPrinted>2017-07-23T22:58:00Z</cp:lastPrinted>
  <dcterms:created xsi:type="dcterms:W3CDTF">2017-07-24T05:02:00Z</dcterms:created>
  <dcterms:modified xsi:type="dcterms:W3CDTF">2017-07-31T08:23:00Z</dcterms:modified>
</cp:coreProperties>
</file>